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B5892B"/>
          <w:sz w:val="18"/>
          <w:szCs w:val="18"/>
        </w:rPr>
        <w:t xml:space="preserve">VERITAS CONCEPT ENGINEERING</w:t>
      </w:r>
    </w:p>
    <w:p>
      <w:pPr>
        <w:spacing w:after="200"/>
      </w:pPr>
      <w:r>
        <w:rPr>
          <w:rFonts w:ascii="Calibri" w:cs="Calibri" w:eastAsia="Calibri" w:hAnsi="Calibri"/>
          <w:i/>
          <w:iCs/>
          <w:color w:val="666666"/>
          <w:sz w:val="18"/>
          <w:szCs w:val="18"/>
        </w:rPr>
        <w:t xml:space="preserve">Facilities Planning Consulting — Robin Owens</w:t>
      </w:r>
    </w:p>
    <w:p>
      <w:pPr>
        <w:pStyle w:val="Title"/>
        <w:spacing w:after="100"/>
      </w:pPr>
      <w:r>
        <w:rPr>
          <w:rFonts w:ascii="Calibri" w:cs="Calibri" w:eastAsia="Calibri" w:hAnsi="Calibri"/>
          <w:b/>
          <w:bCs/>
          <w:color w:val="1F3864"/>
          <w:sz w:val="44"/>
          <w:szCs w:val="44"/>
        </w:rPr>
        <w:t xml:space="preserve">Facility Readiness Framework (FRF)</w:t>
      </w:r>
    </w:p>
    <w:p>
      <w:pPr>
        <w:spacing w:after="100"/>
      </w:pPr>
      <w:r>
        <w:rPr>
          <w:rFonts w:ascii="Calibri" w:cs="Calibri" w:eastAsia="Calibri" w:hAnsi="Calibri"/>
          <w:b/>
          <w:bCs/>
          <w:i/>
          <w:iCs/>
          <w:color w:val="1F3864"/>
          <w:sz w:val="24"/>
          <w:szCs w:val="24"/>
        </w:rPr>
        <w:t xml:space="preserve">Plan the operation before you design the building.</w:t>
      </w:r>
    </w:p>
    <w:p>
      <w:pPr>
        <w:spacing w:after="300"/>
      </w:pPr>
      <w:r>
        <w:rPr>
          <w:rFonts w:ascii="Calibri" w:cs="Calibri" w:eastAsia="Calibri" w:hAnsi="Calibri"/>
          <w:i/>
          <w:iCs/>
          <w:color w:val="555555"/>
          <w:sz w:val="24"/>
          <w:szCs w:val="24"/>
        </w:rPr>
        <w:t xml:space="preserve">A gated process for defining the scope of any facility or building project before you commit capital</w:t>
      </w:r>
    </w:p>
    <w:p>
      <w:pPr>
        <w:pStyle w:val="Heading2"/>
        <w:pBdr>
          <w:bottom w:val="single" w:color="B5892B" w:sz="6" w:space="4"/>
        </w:pBdr>
        <w:spacing w:after="120" w:before="300"/>
      </w:pPr>
      <w:r>
        <w:rPr>
          <w:rFonts w:ascii="Calibri" w:cs="Calibri" w:eastAsia="Calibri" w:hAnsi="Calibri"/>
          <w:b/>
          <w:bCs/>
          <w:color w:val="1F3864"/>
          <w:sz w:val="26"/>
          <w:szCs w:val="26"/>
        </w:rPr>
        <w:t xml:space="preserve">What This Is</w:t>
      </w:r>
    </w:p>
    <w:p>
      <w:pPr>
        <w:spacing w:after="160" w:line="276"/>
      </w:pPr>
      <w:r>
        <w:rPr>
          <w:rFonts w:ascii="Calibri" w:cs="Calibri" w:eastAsia="Calibri" w:hAnsi="Calibri"/>
          <w:color w:val="222222"/>
          <w:sz w:val="21"/>
          <w:szCs w:val="21"/>
        </w:rPr>
        <w:t xml:space="preserve">FRF and FRS are not built from one tradition — they're a deliberate synthesis of three. The gated, scored discipline of proving scope before funding comes from the Construction Industry Institute (CII), the industry body that has researched front-end planning since the early 1990s. The engineering method for actually defining that scope — capacity, activities, and relationships first, then compared block-layout alternatives, then detailed space and flow on the one selected — comes from Richard Muther's Systematic Layout Planning (SLP) and its full project-planning framework, Systematic Planning of Industrial Facilities (SPIF). And the specific, quantified techniques and the judgment for how to run all of it on a real project come from Robin Owens's own 30+ years of applied practice. CII proves the discipline works but doesn't teach you how to define scope; Muther teaches the engineering method but never built it into a fundable, owner-facing scorecard; Robin's practice supplies both, tested on real client work. FRF and FRS put all three together into one process — built around manufacturing plants and industrial facilities, where Robin's own expertise runs deepest, but usable for any facility or building project: a hospital, a school, a distribution center, an office, a municipal building. The engineering logic — plan the operation before you design the building — doesn't change with the building type; Muther's own SLP method has been applied identically to office layouts as to manufacturing plants since the 1960s.</w:t>
      </w:r>
    </w:p>
    <w:p>
      <w:pPr>
        <w:spacing w:after="160" w:line="276"/>
      </w:pPr>
      <w:r>
        <w:rPr>
          <w:rFonts w:ascii="Calibri" w:cs="Calibri" w:eastAsia="Calibri" w:hAnsi="Calibri"/>
          <w:color w:val="222222"/>
          <w:sz w:val="21"/>
          <w:szCs w:val="21"/>
        </w:rPr>
        <w:t xml:space="preserve">Front-end planning itself is not a new idea. In industrial and heavy engineering — refineries, chemical plants, manufacturing facilities — owners have used a structured, gated process for decades to define a project's scope before they commit real money to it. CII has built a scored checklist called the Project Definition Rating Index (PDRI) to measure how well-defined a project's scope actually is before funding.</w:t>
      </w:r>
    </w:p>
    <w:p>
      <w:pPr>
        <w:spacing w:after="160" w:line="276"/>
      </w:pPr>
      <w:r>
        <w:rPr>
          <w:rFonts w:ascii="Calibri" w:cs="Calibri" w:eastAsia="Calibri" w:hAnsi="Calibri"/>
          <w:color w:val="222222"/>
          <w:sz w:val="21"/>
          <w:szCs w:val="21"/>
        </w:rPr>
        <w:t xml:space="preserve">CII's own research is blunt about what happens when scope definition is skipped. A study of 32 building projects worth roughly $890 million (Cho &amp; Gibson, 2001) found that projects scoring well on scope definition came in about 1% over budget and 2% behind schedule. Projects that skipped this discipline came in about 6% over budget and 11% behind schedule. A separate, later CII sample of 108 building projects worth $2.3 billion found the same pattern. The relationship between “did you define the scope before you funded it” and “did the project come in on time and on budget” is not a theory. It's been measured, repeatedly, at real scale.</w:t>
      </w:r>
    </w:p>
    <w:p>
      <w:pPr>
        <w:spacing w:after="160" w:line="276"/>
      </w:pPr>
      <w:r>
        <w:rPr>
          <w:rFonts w:ascii="Calibri" w:cs="Calibri" w:eastAsia="Calibri" w:hAnsi="Calibri"/>
          <w:color w:val="222222"/>
          <w:sz w:val="21"/>
          <w:szCs w:val="21"/>
        </w:rPr>
        <w:t xml:space="preserve">CII's research isn't limited to buildings. Its Project Definition Rating Index for Industrial Projects (now Version 5.0) is built specifically for manufacturing facilities, chemical plants, refineries, and similar operations — including the administration buildings, warehouses, control buildings, maintenance facilities, and laboratories that sit alongside them. And CII has gone a step further: it now publishes a dedicated PDRIx for Manufacturing &amp; Life Sciences, built because manufacturing and life-sciences projects — which combine process engineering and building design in one project the way pure “building” or pure “industrial” projects usually don't — weren't fully served by either original checklist. That combination is a close match for the kind of work covered here. (These industrial-track figures come from a secondary industry summary of CII's research rather than the primary CII publication itself, unlike the directly-verified Cho &amp; Gibson figures above — included as an additional, clearly-labeled data point: on a sample of 128 industrial projects, well-defined scope tracked to roughly 4% under budget and 4% behind schedule, versus about 4% over budget and 10% behind schedule for poorly-defined scope.)</w:t>
      </w:r>
    </w:p>
    <w:p>
      <w:pPr>
        <w:spacing w:after="160" w:line="276"/>
      </w:pPr>
      <w:r>
        <w:rPr>
          <w:rFonts w:ascii="Calibri" w:cs="Calibri" w:eastAsia="Calibri" w:hAnsi="Calibri"/>
          <w:color w:val="222222"/>
          <w:sz w:val="21"/>
          <w:szCs w:val="21"/>
        </w:rPr>
        <w:t xml:space="preserve">The problem: this discipline was built for industrial and EPC owners, and even within CII's own research it splits unevenly — one deep track for heavy industrial process plants, another for general buildings. Most owners — of manufacturing plants, other operating facilities, and institutional buildings alike (hospitals, school districts, corporate real estate teams, municipalities) — have never had a plain-language version built around how they actually work. Most organizations do have some kind of capital approval step — few companies of any real size fund a project with zero process. But the need-validation inside that step is often informal: a conversation and a budget line, not a written problem statement with one accountable name attached to it. That's a real gap even inside a mature capital process, and it's the specific thing Phase 1 is built to close — not the existence of approval, but whether the reasoning behind it survives in writing past the meeting where it was discussed. FRF (Facility Readiness Framework) is a plain-language, gated process for any facility or building project, inspired by the same proven principle — score and define your scope before you commit money — but built as an original synthesis, not a repackaging of CII's proprietary PDRI or Muther's proprietary materials.</w:t>
      </w:r>
    </w:p>
    <w:p>
      <w:pPr>
        <w:spacing w:after="160" w:line="276"/>
      </w:pPr>
      <w:r>
        <w:rPr>
          <w:rFonts w:ascii="Calibri" w:cs="Calibri" w:eastAsia="Calibri" w:hAnsi="Calibri"/>
          <w:color w:val="222222"/>
          <w:sz w:val="21"/>
          <w:szCs w:val="21"/>
        </w:rPr>
        <w:t xml:space="preserve">A second, independent data point worth naming honestly: industry benchmarking cited in Veritas Concept Engineering's own client materials — attributed to CII (17 case studies, roughly $1.5 billion in projects, $35 billion-plus in aggregated project data) — associates strong front-end planning with roughly 10% lower capital cost and 7% shorter schedules, with about 5% fewer change orders. Separate research from Independent Project Analysis (IPA) on Front-End Loading found the gap between the best- and worst-planned projects can swing total capital cost by up to 20%. Neither of these figures has been independently verified here against a primary CII or IPA publication the way the Cho &amp; Gibson figures above have been — they're included as additional, clearly-labeled data points, not as claims carrying the same evidentiary weight.</w:t>
      </w:r>
    </w:p>
    <w:p>
      <w:pPr>
        <w:pStyle w:val="Heading2"/>
        <w:pBdr>
          <w:bottom w:val="single" w:color="B5892B" w:sz="6" w:space="4"/>
        </w:pBdr>
        <w:spacing w:after="120" w:before="300"/>
      </w:pPr>
      <w:r>
        <w:rPr>
          <w:rFonts w:ascii="Calibri" w:cs="Calibri" w:eastAsia="Calibri" w:hAnsi="Calibri"/>
          <w:b/>
          <w:bCs/>
          <w:color w:val="1F3864"/>
          <w:sz w:val="26"/>
          <w:szCs w:val="26"/>
        </w:rPr>
        <w:t xml:space="preserve">How to Use This</w:t>
      </w:r>
    </w:p>
    <w:p>
      <w:pPr>
        <w:spacing w:after="160" w:line="276"/>
      </w:pPr>
      <w:r>
        <w:rPr>
          <w:rFonts w:ascii="Calibri" w:cs="Calibri" w:eastAsia="Calibri" w:hAnsi="Calibri"/>
          <w:color w:val="222222"/>
          <w:sz w:val="21"/>
          <w:szCs w:val="21"/>
        </w:rPr>
        <w:t>FRF has four phases, each ending in a gate. A gate is a decision point: a named decision authority looks at what's been produced and decides whether the project is ready to move to the next phase, needs more work, or should be stopped. That authority isn't always one person — Gate 1 and Gate 2 each have a single named owner, Gate 3 is a joint decision by the CFO/finance lead and the facilities director together, and Gate 4's authority is whatever governing body actually controls the capital (a board, council, or executive committee). What stays constant across all four is a single named owner-side process leader, accountable for continuity, evidence, and follow-through from Phase 1 through Gate 4 — a distinct role from whoever holds decision authority at any one gate.</w:t>
      </w:r>
    </w:p>
    <w:p>
      <w:pPr>
        <w:spacing w:after="160" w:line="276"/>
      </w:pPr>
      <w:r>
        <w:rPr>
          <w:rFonts w:ascii="Calibri" w:cs="Calibri" w:eastAsia="Calibri" w:hAnsi="Calibri"/>
          <w:color w:val="222222"/>
          <w:sz w:val="21"/>
          <w:szCs w:val="21"/>
        </w:rPr>
        <w:t xml:space="preserve">The rigor you apply at each gate should match the size of the project. A $2 million renovation doesn't need the same paperwork as a $50 million new building or plant expansion — but it still needs every gate. Skipping a gate because a project is small is exactly how small projects turn into budget and schedule problems that get blamed on “bad luck.” FRF applies the same way whether the project is new construction, a plant expansion, a renovation, or a layout change inside existing walls.</w:t>
      </w:r>
    </w:p>
    <w:p>
      <w:pPr>
        <w:spacing w:after="160" w:line="276"/>
      </w:pPr>
      <w:r>
        <w:rPr>
          <w:rFonts w:ascii="Calibri" w:cs="Calibri" w:eastAsia="Calibri" w:hAnsi="Calibri"/>
          <w:color w:val="222222"/>
          <w:sz w:val="21"/>
          <w:szCs w:val="21"/>
        </w:rPr>
        <w:t>Not every project needs the full four-phase sequence run at once, either. Within Phase 2 in particular, each piece of analysis — block layout, relationship planning, space and flow analysis, utilities documentation, 2D/3D modeling — stands on its own. An owner can run the whole sequence, or start with whichever single piece is costing the most right now. Individual analyses may be commissioned independently for diagnostic or improvement work. Passing Gate 2, however, requires completion and acceptance of the full operational evidence chain — a piece run on its own is real work, but it isn't a substitute for the whole.</w:t>
      </w:r>
    </w:p>
    <w:p>
      <w:pPr>
        <w:spacing w:after="160" w:line="276"/>
      </w:pPr>
      <w:r>
        <w:rPr>
          <w:rFonts w:ascii="Calibri" w:cs="Calibri" w:eastAsia="Calibri" w:hAnsi="Calibri"/>
          <w:color w:val="222222"/>
          <w:sz w:val="21"/>
          <w:szCs w:val="21"/>
        </w:rPr>
        <w:t xml:space="preserve">At the end of Phase 3, the project is scored using the companion tool, the Facility Readiness Score (FRS) — a 100-point scorecard that measures how ready the scope actually is before the funding request goes to the governing body. FRS is covered in a separate document and its own spreadsheet tool.</w:t>
      </w:r>
    </w:p>
    <w:p>
      <w:pPr>
        <w:spacing w:after="160" w:line="276"/>
      </w:pPr>
      <w:r>
        <w:rPr>
          <w:rFonts w:ascii="Calibri" w:cs="Calibri" w:eastAsia="Calibri" w:hAnsi="Calibri"/>
          <w:color w:val="222222"/>
          <w:sz w:val="21"/>
          <w:szCs w:val="21"/>
        </w:rPr>
        <w:t>This document covers the overall process and the reasoning behind it. Each phase also has its own standalone Facilitator Guide — a step-by-step walkthrough plus the fillable forms and templates for that phase — and, for every phase, a worked example showing those forms filled in with realistic numbers. Those phase-specific guides are the field references for actually running each phase; each Phase section below notes where its guide stands.</w:t>
      </w:r>
    </w:p>
    <w:p>
      <w:pPr>
        <w:pStyle w:val="Heading2"/>
        <w:pBdr>
          <w:bottom w:val="single" w:color="B5892B" w:sz="6" w:space="4"/>
        </w:pBdr>
        <w:spacing w:after="120" w:before="300"/>
      </w:pPr>
      <w:r>
        <w:rPr>
          <w:rFonts w:ascii="Calibri" w:cs="Calibri" w:eastAsia="Calibri" w:hAnsi="Calibri"/>
          <w:b/>
          <w:bCs/>
          <w:color w:val="1F3864"/>
          <w:sz w:val="26"/>
          <w:szCs w:val="26"/>
        </w:rPr>
        <w:t xml:space="preserve">Who Does What — This Is a Team Sport</w:t>
      </w:r>
    </w:p>
    <w:p>
      <w:pPr>
        <w:spacing w:after="160" w:line="276"/>
      </w:pPr>
      <w:r>
        <w:rPr>
          <w:rFonts w:ascii="Calibri" w:cs="Calibri" w:eastAsia="Calibri" w:hAnsi="Calibri"/>
          <w:color w:val="222222"/>
          <w:sz w:val="21"/>
          <w:szCs w:val="21"/>
        </w:rPr>
        <w:t>FRF and FRS cover eight areas, and no single person is expected to be expert in all of them. Capacity, Layout &amp; Flow Validation — block layout planning, capacity planning, headcount and growth planning, space planning, operating sequence and routing, flow analysis, relationship planning, visualization, and utilities documentation — is Robin Owens's own engineering specialty. The other categories are normally led by whoever already owns that discipline on the owner's side, or by a specialist brought in for it.</w:t>
      </w:r>
    </w:p>
    <w:p>
      <w:pPr>
        <w:spacing w:after="160" w:line="276"/>
      </w:pPr>
      <w:r>
        <w:rPr>
          <w:rFonts w:ascii="Calibri" w:cs="Calibri" w:eastAsia="Calibri" w:hAnsi="Calibri"/>
          <w:color w:val="222222"/>
          <w:sz w:val="21"/>
          <w:szCs w:val="21"/>
        </w:rPr>
        <w:t xml:space="preserve">Robin Owens brings more than 30 years of industrial engineering and operations experience — including roles at Boeing, Amkor Technology, Advanced Energy, Intel, and Becton Dickinson, and multiple site leadership roles at Jabil — plus seven years working alongside Dr. Dave Sly of Iowa State University helping bring FactoryFLOW and FlowPlanner, industry-leading facility layout and flow-analysis software, to companies across the U.S. and Asia. That combination of production-floor operating experience and layout-engineering tooling is what the Capacity, Layout &amp; Flow Validation category is built on.</w:t>
      </w:r>
    </w:p>
    <w:p>
      <w:pPr>
        <w:spacing w:after="160" w:line="276"/>
      </w:pPr>
      <w:r>
        <w:rPr>
          <w:rFonts w:ascii="Calibri" w:cs="Calibri" w:eastAsia="Calibri" w:hAnsi="Calibri"/>
          <w:color w:val="222222"/>
          <w:sz w:val="21"/>
          <w:szCs w:val="21"/>
        </w:rPr>
        <w:t xml:space="preserve">Schedule Realism &amp; Sequencing is a good example of a category led elsewhere. It's best assessed together with the owner's construction manager, GC, or scheduler — the people who actually own the means and methods of building the project. This isn't a gap in the framework; it's how the discipline has always drawn this line. Richard Muther's own comprehensive project-planning framework (Systematic Planning of Industrial Facilities, or SPIF) explicitly marks construction itself as “out of scope — managed by the construction contractor.” Robin can facilitate that conversation and check that the schedule traces back to the real scope, but the schedule itself should come from whoever is actually going to build it. The same logic applies to cost estimating and legal/procurement matters — real expertise, brought in where it belongs.</w:t>
      </w:r>
    </w:p>
    <w:p>
      <w:pPr>
        <w:spacing w:after="160" w:line="276"/>
      </w:pPr>
      <w:r>
        <w:rPr>
          <w:rFonts w:ascii="Calibri" w:cs="Calibri" w:eastAsia="Calibri" w:hAnsi="Calibri"/>
          <w:color w:val="222222"/>
          <w:sz w:val="21"/>
          <w:szCs w:val="21"/>
        </w:rPr>
        <w:t xml:space="preserve">How much of this any one person covers depends entirely on the project. A small renovation might reasonably have one experienced person — including Robin, if engaged broadly — covering several categories personally. A large new build or plant expansion will pull in a full team, each person owning the piece they're actually expert in.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200"/>
        <w:gridCol w:w="4800"/>
      </w:tblGrid>
      <w:tr>
        <w:trPr>
          <w:cantSplit/>
          <w:tblHeader/>
        </w:trPr>
        <w:tc>
          <w:tcPr>
            <w:tcW w:type="dxa" w:w="42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FRS Category</w:t>
            </w:r>
          </w:p>
        </w:tc>
        <w:tc>
          <w:tcPr>
            <w:tcW w:type="dxa" w:w="48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Typically Led By</w:t>
            </w:r>
          </w:p>
        </w:tc>
      </w:tr>
      <w:tr>
        <w:trPr>
          <w:cantSplit/>
        </w:trPr>
        <w:tc>
          <w:tcPr>
            <w:tcW w:type="dxa" w:w="42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Business Case &amp; Funding Clarity</w:t>
            </w:r>
          </w:p>
        </w:tc>
        <w:tc>
          <w:tcPr>
            <w:tcW w:type="dxa" w:w="4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Executive sponsor / CFO</w:t>
            </w:r>
          </w:p>
        </w:tc>
      </w:tr>
      <w:tr>
        <w:trPr>
          <w:cantSplit/>
        </w:trPr>
        <w:tc>
          <w:tcPr>
            <w:tcW w:type="dxa" w:w="42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Stakeholder Governance &amp; Decision Rights</w:t>
            </w:r>
          </w:p>
        </w:tc>
        <w:tc>
          <w:tcPr>
            <w:tcW w:type="dxa" w:w="4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Project lead / facilities director</w:t>
            </w:r>
          </w:p>
        </w:tc>
      </w:tr>
      <w:tr>
        <w:trPr>
          <w:cantSplit/>
        </w:trPr>
        <w:tc>
          <w:tcPr>
            <w:tcW w:type="dxa" w:w="42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Capacity, Layout &amp; Flow Validation</w:t>
            </w:r>
          </w:p>
        </w:tc>
        <w:tc>
          <w:tcPr>
            <w:tcW w:type="dxa" w:w="4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Robin Owens / Veritas Concept Engineering</w:t>
            </w:r>
          </w:p>
        </w:tc>
      </w:tr>
      <w:tr>
        <w:trPr>
          <w:cantSplit/>
        </w:trPr>
        <w:tc>
          <w:tcPr>
            <w:tcW w:type="dxa" w:w="42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Site &amp; Physical/Regulatory Constraints</w:t>
            </w:r>
          </w:p>
        </w:tc>
        <w:tc>
          <w:tcPr>
            <w:tcW w:type="dxa" w:w="4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Civil/site engineer, code &amp; permitting consultant</w:t>
            </w:r>
          </w:p>
        </w:tc>
      </w:tr>
      <w:tr>
        <w:trPr>
          <w:cantSplit/>
        </w:trPr>
        <w:tc>
          <w:tcPr>
            <w:tcW w:type="dxa" w:w="42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Budget Basis &amp; Cost Realism</w:t>
            </w:r>
          </w:p>
        </w:tc>
        <w:tc>
          <w:tcPr>
            <w:tcW w:type="dxa" w:w="4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Cost estimator, CFO/finance</w:t>
            </w:r>
          </w:p>
        </w:tc>
      </w:tr>
      <w:tr>
        <w:trPr>
          <w:cantSplit/>
        </w:trPr>
        <w:tc>
          <w:tcPr>
            <w:tcW w:type="dxa" w:w="42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Schedule Realism &amp; Sequencing</w:t>
            </w:r>
          </w:p>
        </w:tc>
        <w:tc>
          <w:tcPr>
            <w:tcW w:type="dxa" w:w="4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Construction manager / scheduler / GC</w:t>
            </w:r>
          </w:p>
        </w:tc>
      </w:tr>
      <w:tr>
        <w:trPr>
          <w:cantSplit/>
        </w:trPr>
        <w:tc>
          <w:tcPr>
            <w:tcW w:type="dxa" w:w="42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Risk &amp; Approval Readiness</w:t>
            </w:r>
          </w:p>
        </w:tc>
        <w:tc>
          <w:tcPr>
            <w:tcW w:type="dxa" w:w="4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Project lead, legal/regulatory advisor</w:t>
            </w:r>
          </w:p>
        </w:tc>
      </w:tr>
      <w:tr>
        <w:trPr>
          <w:cantSplit/>
        </w:trPr>
        <w:tc>
          <w:tcPr>
            <w:tcW w:type="dxa" w:w="42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Delivery &amp; Procurement Strategy</w:t>
            </w:r>
          </w:p>
        </w:tc>
        <w:tc>
          <w:tcPr>
            <w:tcW w:type="dxa" w:w="4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Project lead, procurement/legal</w:t>
            </w:r>
          </w:p>
        </w:tc>
      </w:tr>
    </w:tbl>
    <w:p>
      <w:pPr>
        <w:pStyle w:val="Heading2"/>
        <w:pBdr>
          <w:bottom w:val="single" w:color="B5892B" w:sz="6" w:space="4"/>
        </w:pBdr>
        <w:spacing w:after="120" w:before="300"/>
      </w:pPr>
      <w:r>
        <w:rPr>
          <w:rFonts w:ascii="Calibri" w:cs="Calibri" w:eastAsia="Calibri" w:hAnsi="Calibri"/>
          <w:b/>
          <w:bCs/>
          <w:color w:val="1F3864"/>
          <w:sz w:val="26"/>
          <w:szCs w:val="26"/>
        </w:rPr>
        <w:t xml:space="preserve">The Four Phases and Gates — Overview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500"/>
        <w:gridCol w:w="1750"/>
        <w:gridCol w:w="3550"/>
        <w:gridCol w:w="2200"/>
      </w:tblGrid>
      <w:tr>
        <w:trPr>
          <w:cantSplit/>
          <w:tblHeader/>
        </w:trPr>
        <w:tc>
          <w:tcPr>
            <w:tcW w:type="dxa" w:w="15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Phase</w:t>
            </w:r>
          </w:p>
        </w:tc>
        <w:tc>
          <w:tcPr>
            <w:tcW w:type="dxa" w:w="175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Gate</w:t>
            </w:r>
          </w:p>
        </w:tc>
        <w:tc>
          <w:tcPr>
            <w:tcW w:type="dxa" w:w="355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Gate Question</w:t>
            </w:r>
          </w:p>
        </w:tc>
        <w:tc>
          <w:tcPr>
            <w:tcW w:type="dxa" w:w="22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Accountable</w:t>
            </w:r>
          </w:p>
        </w:tc>
      </w:tr>
      <w:tr>
        <w:trPr>
          <w:cantSplit/>
        </w:trPr>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1. Validate the Need</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Need Validated</w:t>
            </w:r>
          </w:p>
        </w:tc>
        <w:tc>
          <w:tcPr>
            <w:tcW w:type="dxa" w:w="355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Does leadership agree this is worth spending real planning money on?</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Executive sponsor</w:t>
            </w:r>
          </w:p>
        </w:tc>
      </w:tr>
      <w:tr>
        <w:trPr>
          <w:cantSplit/>
        </w:trPr>
        <w:tc>
          <w:tcPr>
            <w:tcW w:type="dxa" w:w="15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2. Define the Scope</w:t>
            </w:r>
          </w:p>
        </w:tc>
        <w:tc>
          <w:tcPr>
            <w:tcW w:type="dxa" w:w="175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Scope Locked</w:t>
            </w:r>
          </w:p>
        </w:tc>
        <w:tc>
          <w:tcPr>
            <w:tcW w:type="dxa" w:w="355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Has the operational basis been engineered, documented, and accepted by the people who will operate the facility?</w:t>
            </w:r>
          </w:p>
        </w:tc>
        <w:tc>
          <w:tcPr>
            <w:tcW w:type="dxa" w:w="22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Owner's project lead / facilities director</w:t>
            </w:r>
          </w:p>
        </w:tc>
      </w:tr>
      <w:tr>
        <w:trPr>
          <w:cantSplit/>
        </w:trPr>
        <w:tc>
          <w:tcPr>
            <w:tcW w:type="dxa" w:w="15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3. Prove the Numbers</w:t>
            </w:r>
          </w:p>
        </w:tc>
        <w:tc>
          <w:tcPr>
            <w:tcW w:type="dxa" w:w="175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Numbers Proven</w:t>
            </w:r>
          </w:p>
        </w:tc>
        <w:tc>
          <w:tcPr>
            <w:tcW w:type="dxa" w:w="355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Do budget, schedule, and delivery trace back to the actual scope — not a wish or a deadline?</w:t>
            </w:r>
          </w:p>
        </w:tc>
        <w:tc>
          <w:tcPr>
            <w:tcW w:type="dxa" w:w="22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CFO/finance + facilities director, jointly</w:t>
            </w:r>
          </w:p>
        </w:tc>
      </w:tr>
      <w:tr>
        <w:trPr>
          <w:cantSplit/>
        </w:trPr>
        <w:tc>
          <w:tcPr>
            <w:tcW w:type="dxa" w:w="15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4. Commit the Money</w:t>
            </w:r>
          </w:p>
        </w:tc>
        <w:tc>
          <w:tcPr>
            <w:tcW w:type="dxa" w:w="175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Funding Committed</w:t>
            </w:r>
          </w:p>
        </w:tc>
        <w:tc>
          <w:tcPr>
            <w:tcW w:type="dxa" w:w="355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Is the governing body authorizing capital against a real plan, or a guess?</w:t>
            </w:r>
          </w:p>
        </w:tc>
        <w:tc>
          <w:tcPr>
            <w:tcW w:type="dxa" w:w="22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Board / council / executive leadership</w:t>
            </w:r>
          </w:p>
        </w:tc>
      </w:tr>
    </w:tbl>
    <w:p>
      <w:pPr>
        <w:pStyle w:val="Heading2"/>
        <w:pBdr>
          <w:bottom w:val="single" w:color="B5892B" w:sz="6" w:space="4"/>
        </w:pBdr>
        <w:spacing w:after="120" w:before="300"/>
      </w:pPr>
      <w:r>
        <w:rPr>
          <w:rFonts w:ascii="Calibri" w:cs="Calibri" w:eastAsia="Calibri" w:hAnsi="Calibri"/>
          <w:b/>
          <w:bCs/>
          <w:color w:val="1F3864"/>
          <w:sz w:val="26"/>
          <w:szCs w:val="26"/>
        </w:rPr>
        <w:t xml:space="preserve">Phase 1 — Validate the Need</w:t>
      </w:r>
    </w:p>
    <w:p>
      <w:pPr>
        <w:spacing w:after="120" w:line="276"/>
      </w:pPr>
      <w:r>
        <w:rPr>
          <w:rFonts w:ascii="Calibri" w:cs="Calibri" w:eastAsia="Calibri" w:hAnsi="Calibri"/>
          <w:b/>
          <w:bCs/>
          <w:color w:val="1F3864"/>
          <w:sz w:val="21"/>
          <w:szCs w:val="21"/>
        </w:rPr>
        <w:t xml:space="preserve">Gate 1:  </w:t>
      </w:r>
      <w:r>
        <w:rPr>
          <w:rFonts w:ascii="Calibri" w:cs="Calibri" w:eastAsia="Calibri" w:hAnsi="Calibri"/>
          <w:color w:val="222222"/>
          <w:sz w:val="21"/>
          <w:szCs w:val="21"/>
        </w:rPr>
        <w:t xml:space="preserve">Need Validated</w:t>
      </w:r>
    </w:p>
    <w:p>
      <w:pPr>
        <w:spacing w:after="120" w:line="276"/>
      </w:pPr>
      <w:r>
        <w:rPr>
          <w:rFonts w:ascii="Calibri" w:cs="Calibri" w:eastAsia="Calibri" w:hAnsi="Calibri"/>
          <w:b/>
          <w:bCs/>
          <w:color w:val="1F3864"/>
          <w:sz w:val="21"/>
          <w:szCs w:val="21"/>
        </w:rPr>
        <w:t xml:space="preserve">What happens:  </w:t>
      </w:r>
      <w:r>
        <w:rPr>
          <w:rFonts w:ascii="Calibri" w:cs="Calibri" w:eastAsia="Calibri" w:hAnsi="Calibri"/>
          <w:color w:val="222222"/>
          <w:sz w:val="21"/>
          <w:szCs w:val="21"/>
        </w:rPr>
        <w:t xml:space="preserve">The problem gets written down and confirmed as real — not just a wish list from one department. A rough-order budget range is set. Someone checks that the project actually fits the organization's strategy. An executive sponsor is named.</w:t>
      </w:r>
    </w:p>
    <w:p>
      <w:pPr>
        <w:spacing w:after="120" w:line="276"/>
      </w:pPr>
      <w:r>
        <w:rPr>
          <w:rFonts w:ascii="Calibri" w:cs="Calibri" w:eastAsia="Calibri" w:hAnsi="Calibri"/>
          <w:b/>
          <w:bCs/>
          <w:color w:val="1F3864"/>
          <w:sz w:val="21"/>
          <w:szCs w:val="21"/>
        </w:rPr>
        <w:t xml:space="preserve">Gate question:  </w:t>
      </w:r>
      <w:r>
        <w:rPr>
          <w:rFonts w:ascii="Calibri" w:cs="Calibri" w:eastAsia="Calibri" w:hAnsi="Calibri"/>
          <w:color w:val="222222"/>
          <w:sz w:val="21"/>
          <w:szCs w:val="21"/>
        </w:rPr>
        <w:t xml:space="preserve">Does leadership agree this is worth spending real planning money on?</w:t>
      </w:r>
    </w:p>
    <w:p>
      <w:pPr>
        <w:spacing w:after="120" w:line="276"/>
      </w:pPr>
      <w:r>
        <w:rPr>
          <w:rFonts w:ascii="Calibri" w:cs="Calibri" w:eastAsia="Calibri" w:hAnsi="Calibri"/>
          <w:b/>
          <w:bCs/>
          <w:color w:val="1F3864"/>
          <w:sz w:val="21"/>
          <w:szCs w:val="21"/>
        </w:rPr>
        <w:t xml:space="preserve">Accountable:  </w:t>
      </w:r>
      <w:r>
        <w:rPr>
          <w:rFonts w:ascii="Calibri" w:cs="Calibri" w:eastAsia="Calibri" w:hAnsi="Calibri"/>
          <w:color w:val="222222"/>
          <w:sz w:val="21"/>
          <w:szCs w:val="21"/>
        </w:rPr>
        <w:t xml:space="preserve">The executive sponsor — CFO, superintendent, city manager, VP of Facilities, whatever the title is in your organization. This is the person who can fund the next phase or kill the project outright.</w:t>
      </w:r>
    </w:p>
    <w:p>
      <w:pPr>
        <w:spacing w:after="120" w:line="276"/>
      </w:pPr>
      <w:r>
        <w:rPr>
          <w:rFonts w:ascii="Calibri" w:cs="Calibri" w:eastAsia="Calibri" w:hAnsi="Calibri"/>
          <w:b/>
          <w:bCs/>
          <w:color w:val="1F3864"/>
          <w:sz w:val="21"/>
          <w:szCs w:val="21"/>
        </w:rPr>
        <w:t xml:space="preserve">If this gate gets skipped:  </w:t>
      </w:r>
      <w:r>
        <w:rPr>
          <w:rFonts w:ascii="Calibri" w:cs="Calibri" w:eastAsia="Calibri" w:hAnsi="Calibri"/>
          <w:color w:val="222222"/>
          <w:sz w:val="21"/>
          <w:szCs w:val="21"/>
        </w:rPr>
        <w:t xml:space="preserve">It rarely looks like skipped approval — most projects get some kind of sign-off. What actually gets skipped is the written record: no documented problem statement, no single named sponsor, just momentum and a budget line. Scope grows later because nobody can point back to what the project was actually funded to solve.</w:t>
      </w:r>
    </w:p>
    <w:p>
      <w:pPr>
        <w:spacing w:after="120" w:line="276"/>
      </w:pPr>
      <w:r>
        <w:rPr>
          <w:rFonts w:ascii="Calibri" w:cs="Calibri" w:eastAsia="Calibri" w:hAnsi="Calibri"/>
          <w:b/>
          <w:bCs/>
          <w:color w:val="1F3864"/>
          <w:sz w:val="21"/>
          <w:szCs w:val="21"/>
        </w:rPr>
        <w:t>Facilitator Guide &amp; Worked Example:  See the standalone FRF Phase 1 Facilitator Guide (7-step walkthrough, 5 forms) and the FRF Phase 1 Worked Example.</w:t>
      </w:r>
      <w:r>
        <w:rPr>
          <w:rFonts w:ascii="Calibri" w:cs="Calibri" w:eastAsia="Calibri" w:hAnsi="Calibri"/>
          <w:color w:val="222222"/>
          <w:sz w:val="21"/>
          <w:szCs w:val="21"/>
        </w:rPr>
      </w:r>
    </w:p>
    <w:p>
      <w:pPr>
        <w:pStyle w:val="Heading2"/>
        <w:pBdr>
          <w:bottom w:val="single" w:color="B5892B" w:sz="6" w:space="4"/>
        </w:pBdr>
        <w:spacing w:after="120" w:before="300"/>
      </w:pPr>
      <w:r>
        <w:rPr>
          <w:rFonts w:ascii="Calibri" w:cs="Calibri" w:eastAsia="Calibri" w:hAnsi="Calibri"/>
          <w:b/>
          <w:bCs/>
          <w:color w:val="1F3864"/>
          <w:sz w:val="26"/>
          <w:szCs w:val="26"/>
        </w:rPr>
        <w:t xml:space="preserve">Phase 2 — Define the Scope</w:t>
      </w:r>
    </w:p>
    <w:p>
      <w:pPr>
        <w:spacing w:after="120" w:line="276"/>
      </w:pPr>
      <w:r>
        <w:rPr>
          <w:rFonts w:ascii="Calibri" w:cs="Calibri" w:eastAsia="Calibri" w:hAnsi="Calibri"/>
          <w:b/>
          <w:bCs/>
          <w:color w:val="1F3864"/>
          <w:sz w:val="21"/>
          <w:szCs w:val="21"/>
        </w:rPr>
        <w:t xml:space="preserve">Gate 2:  </w:t>
      </w:r>
      <w:r>
        <w:rPr>
          <w:rFonts w:ascii="Calibri" w:cs="Calibri" w:eastAsia="Calibri" w:hAnsi="Calibri"/>
          <w:color w:val="222222"/>
          <w:sz w:val="21"/>
          <w:szCs w:val="21"/>
        </w:rPr>
        <w:t xml:space="preserve">Scope Locked</w:t>
      </w:r>
    </w:p>
    <w:p>
      <w:pPr>
        <w:spacing w:after="160" w:line="276"/>
      </w:pPr>
      <w:r>
        <w:rPr>
          <w:rFonts w:ascii="Calibri" w:cs="Calibri" w:eastAsia="Calibri" w:hAnsi="Calibri"/>
          <w:color w:val="222222"/>
          <w:sz w:val="21"/>
          <w:szCs w:val="21"/>
        </w:rPr>
        <w:t xml:space="preserve">This is where the real engineering work happens, and it happens in a specific order — not as unrelated tasks done in whatever sequence is convenient: Define, Model, Review, Select, Detail, Package, Handoff.</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700"/>
        <w:gridCol w:w="1500"/>
        <w:gridCol w:w="6800"/>
      </w:tblGrid>
      <w:tr>
        <w:trPr>
          <w:cantSplit/>
          <w:tblHeader/>
        </w:trPr>
        <w:tc>
          <w:tcPr>
            <w:tcW w:type="dxa" w:w="7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Step</w:t>
            </w:r>
          </w:p>
        </w:tc>
        <w:tc>
          <w:tcPr>
            <w:tcW w:type="dxa" w:w="15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What</w:t>
            </w:r>
          </w:p>
        </w:tc>
        <w:tc>
          <w:tcPr>
            <w:tcW w:type="dxa" w:w="6800"/>
            <w:shd w:fill="1F3864" w:val="clear"/>
            <w:tcMar>
              <w:top w:type="dxa" w:w="100"/>
              <w:left w:type="dxa" w:w="120"/>
              <w:bottom w:type="dxa" w:w="100"/>
              <w:right w:type="dxa" w:w="120"/>
            </w:tcMar>
            <w:vAlign w:val="center"/>
          </w:tcPr>
          <w:p>
            <w:pPr>
              <w:spacing w:after="0"/>
            </w:pPr>
            <w:r>
              <w:rPr>
                <w:rFonts w:ascii="Calibri" w:cs="Calibri" w:eastAsia="Calibri" w:hAnsi="Calibri"/>
                <w:b/>
                <w:bCs/>
                <w:color w:val="FFFFFF"/>
                <w:sz w:val="19"/>
                <w:szCs w:val="19"/>
              </w:rPr>
              <w:t xml:space="preserve">What it settles</w:t>
            </w:r>
          </w:p>
        </w:tc>
      </w:tr>
      <w:tr>
        <w:trPr>
          <w:cantSplit/>
        </w:trPr>
        <w:tc>
          <w:tcPr>
            <w:tcW w:type="dxa" w:w="7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1</w:t>
            </w:r>
          </w:p>
        </w:tc>
        <w:tc>
          <w:tcPr>
            <w:tcW w:type="dxa" w:w="15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Define</w:t>
            </w:r>
          </w:p>
        </w:tc>
        <w:tc>
          <w:tcPr>
            <w:tcW w:type="dxa" w:w="6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Operational needs, capacity/throughput requirements, headcount and growth projections, high-level space needs, high-level relationships, and high-level flow are gathered and written down — what's being produced or handled, how much, in what sequence, what supporting services it needs, and on what timing, plus everything beyond that baseline; headcount is planned by department, over time, not just today's count — this is what actually sizes parking, cafeteria, circulation, transportation, and office space later on. Not a repeat of what's there today.</w:t>
            </w:r>
          </w:p>
        </w:tc>
      </w:tr>
      <w:tr>
        <w:trPr>
          <w:cantSplit/>
        </w:trPr>
        <w:tc>
          <w:tcPr>
            <w:tcW w:type="dxa" w:w="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2</w:t>
            </w:r>
          </w:p>
        </w:tc>
        <w:tc>
          <w:tcPr>
            <w:tcW w:type="dxa" w:w="15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Model</w:t>
            </w:r>
          </w:p>
        </w:tc>
        <w:tc>
          <w:tcPr>
            <w:tcW w:type="dxa" w:w="6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Layout options are built and tested against existing or proposed building drawings — at least two meaningfully different block layout alternatives, not just one. Equipment-level detail is deliberately held back until a block layout is confirmed — standard Systematic Layout Planning (SLP) practice.</w:t>
            </w:r>
          </w:p>
        </w:tc>
      </w:tr>
      <w:tr>
        <w:trPr>
          <w:cantSplit/>
        </w:trPr>
        <w:tc>
          <w:tcPr>
            <w:tcW w:type="dxa" w:w="7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3</w:t>
            </w:r>
          </w:p>
        </w:tc>
        <w:tc>
          <w:tcPr>
            <w:tcW w:type="dxa" w:w="15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Review</w:t>
            </w:r>
          </w:p>
        </w:tc>
        <w:tc>
          <w:tcPr>
            <w:tcW w:type="dxa" w:w="6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Options are compared side by side for executive/leadership review using a weighted-factor scorecard — a defined set of evaluation criteria spanning company/community fit, business impact, operations, physical practicality, and future flexibility — not just visual preference. Stakeholders see real alternatives and react before anything is locked in, not a single idea presented as a foregone conclusion.</w:t>
            </w:r>
          </w:p>
        </w:tc>
      </w:tr>
      <w:tr>
        <w:trPr>
          <w:cantSplit/>
        </w:trPr>
        <w:tc>
          <w:tcPr>
            <w:tcW w:type="dxa" w:w="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4</w:t>
            </w:r>
          </w:p>
        </w:tc>
        <w:tc>
          <w:tcPr>
            <w:tcW w:type="dxa" w:w="15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Select</w:t>
            </w:r>
          </w:p>
        </w:tc>
        <w:tc>
          <w:tcPr>
            <w:tcW w:type="dxa" w:w="6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A concept block layout is chosen — the winning alternative should score clearly higher than the runner-up on the weighted-factor scorecard, not just barely. This settles whether the project fits inside an existing building shell or needs a new one.</w:t>
            </w:r>
          </w:p>
        </w:tc>
      </w:tr>
      <w:tr>
        <w:trPr>
          <w:cantSplit/>
        </w:trPr>
        <w:tc>
          <w:tcPr>
            <w:tcW w:type="dxa" w:w="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5</w:t>
            </w:r>
          </w:p>
        </w:tc>
        <w:tc>
          <w:tcPr>
            <w:tcW w:type="dxa" w:w="15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Detail</w:t>
            </w:r>
          </w:p>
        </w:tc>
        <w:tc>
          <w:tcPr>
            <w:tcW w:type="dxa" w:w="6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Relationship, space, flow, and utility analysis are run in full detail — but only on the selected layout, not the whole option set. Relationship adjacencies are rated on a standard closeness scale (A-E-I-O-U-X: Absolutely necessary, Especially important, Important, Ordinary, Unimportant, Undesirable) and documented in a formal chart. Space is classified and measured — Gross, Net, Operations, and Non-Operations Square Feet (GSF/NSF/OSF/NOSF) — and Equipment Packing Density (value-creating equipment square footage ÷ operations square footage) is calculated and checked against a target, turning square footage into a number leadership can act on. Flow is mapped and quantified — aggregate travel distance measured, not assumed, and tested against a reduction target.</w:t>
            </w:r>
          </w:p>
        </w:tc>
      </w:tr>
      <w:tr>
        <w:trPr>
          <w:cantSplit/>
        </w:trPr>
        <w:tc>
          <w:tcPr>
            <w:tcW w:type="dxa" w:w="7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6</w:t>
            </w:r>
          </w:p>
        </w:tc>
        <w:tc>
          <w:tcPr>
            <w:tcW w:type="dxa" w:w="1500"/>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Package</w:t>
            </w:r>
          </w:p>
        </w:tc>
        <w:tc>
          <w:tcPr>
            <w:tcW w:type="dxa" w:w="6800"/>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 xml:space="preserve">The block layout plan, relationship study, space and density analysis, flow analysis, utility requirements matrix, and 2D/3D concept model are assembled into one concept package.</w:t>
            </w:r>
          </w:p>
        </w:tc>
      </w:tr>
      <w:tr>
        <w:trPr>
          <w:cantSplit/>
        </w:trPr>
        <w:tc>
          <w:tcPr>
            <w:tcW w:type="dxa" w:w="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7</w:t>
            </w:r>
          </w:p>
        </w:tc>
        <w:tc>
          <w:tcPr>
            <w:tcW w:type="dxa" w:w="15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9"/>
                <w:szCs w:val="19"/>
              </w:rPr>
              <w:t xml:space="preserve">Handoff</w:t>
            </w:r>
          </w:p>
        </w:tc>
        <w:tc>
          <w:tcPr>
            <w:tcW w:type="dxa" w:w="6800"/>
            <w:shd w:fill="F2F2F2" w:val="clear"/>
            <w:tcMar>
              <w:top w:type="dxa" w:w="100"/>
              <w:left w:type="dxa" w:w="120"/>
              <w:bottom w:type="dxa" w:w="100"/>
              <w:right w:type="dxa" w:w="120"/>
            </w:tcMar>
            <w:vAlign w:val="center"/>
          </w:tcPr>
          <w:p>
            <w:pPr>
              <w:spacing w:after="0"/>
            </w:pPr>
            <w:r>
              <w:rPr>
                <w:rFonts w:ascii="Calibri" w:cs="Calibri" w:eastAsia="Calibri" w:hAnsi="Calibri"/>
                <w:b w:val="false"/>
                <w:bCs w:val="false"/>
                <w:color w:val="222222"/>
                <w:sz w:val="19"/>
                <w:szCs w:val="19"/>
              </w:rPr>
              <w:t>The concept package is provided to the architects and engineers for technical validation, estimating, scheduling, permitting input, and any limited predesign needed to prove the Phase 3 numbers.</w:t>
            </w:r>
          </w:p>
        </w:tc>
      </w:tr>
    </w:tbl>
    <w:p>
      <w:pPr>
        <w:spacing w:after="160" w:line="276"/>
      </w:pPr>
      <w:r>
        <w:rPr>
          <w:rFonts w:ascii="Calibri" w:cs="Calibri" w:eastAsia="Calibri" w:hAnsi="Calibri"/>
          <w:color w:val="222222"/>
          <w:sz w:val="21"/>
          <w:szCs w:val="21"/>
        </w:rPr>
        <w:t xml:space="preserve"/>
      </w:r>
    </w:p>
    <w:p>
      <w:pPr>
        <w:spacing w:after="120" w:line="276"/>
      </w:pPr>
      <w:r>
        <w:rPr>
          <w:rFonts w:ascii="Calibri" w:cs="Calibri" w:eastAsia="Calibri" w:hAnsi="Calibri"/>
          <w:b/>
          <w:bCs/>
          <w:color w:val="1F3864"/>
          <w:sz w:val="21"/>
          <w:szCs w:val="21"/>
        </w:rPr>
        <w:t xml:space="preserve">Gate question:  </w:t>
      </w:r>
      <w:r>
        <w:rPr>
          <w:rFonts w:ascii="Calibri" w:cs="Calibri" w:eastAsia="Calibri" w:hAnsi="Calibri"/>
          <w:color w:val="222222"/>
          <w:sz w:val="21"/>
          <w:szCs w:val="21"/>
        </w:rPr>
        <w:t xml:space="preserve">Has the operational basis been engineered, documented, and accepted by the people who will operate the facility?</w:t>
      </w:r>
    </w:p>
    <w:p>
      <w:pPr>
        <w:spacing w:after="120" w:line="276"/>
      </w:pPr>
      <w:r>
        <w:rPr>
          <w:rFonts w:ascii="Calibri" w:cs="Calibri" w:eastAsia="Calibri" w:hAnsi="Calibri"/>
          <w:b/>
          <w:bCs/>
          <w:color w:val="1F3864"/>
          <w:sz w:val="21"/>
          <w:szCs w:val="21"/>
        </w:rPr>
        <w:t xml:space="preserve">Accountable:  </w:t>
      </w:r>
      <w:r>
        <w:rPr>
          <w:rFonts w:ascii="Calibri" w:cs="Calibri" w:eastAsia="Calibri" w:hAnsi="Calibri"/>
          <w:color w:val="222222"/>
          <w:sz w:val="21"/>
          <w:szCs w:val="21"/>
        </w:rPr>
        <w:t xml:space="preserve">The owner's project lead or facilities director, informed directly by the people who will actually operate the space — not just told about the project after the fact.</w:t>
      </w:r>
    </w:p>
    <w:p>
      <w:pPr>
        <w:spacing w:after="120" w:line="276"/>
      </w:pPr>
      <w:r>
        <w:rPr>
          <w:rFonts w:ascii="Calibri" w:cs="Calibri" w:eastAsia="Calibri" w:hAnsi="Calibri"/>
          <w:b/>
          <w:bCs/>
          <w:color w:val="1F3864"/>
          <w:sz w:val="21"/>
          <w:szCs w:val="21"/>
        </w:rPr>
        <w:t xml:space="preserve">If this gate gets skipped:  </w:t>
      </w:r>
      <w:r>
        <w:rPr>
          <w:rFonts w:ascii="Calibri" w:cs="Calibri" w:eastAsia="Calibri" w:hAnsi="Calibri"/>
          <w:color w:val="222222"/>
          <w:sz w:val="21"/>
          <w:szCs w:val="21"/>
        </w:rPr>
        <w:t xml:space="preserve">This is the single most common failure point in capital projects. Scope gets “locked” based on a floor plan sketch and a guess at square footage, with no capacity math and no flow analysis behind it. Every dollar spent on design and construction after this point is spent against a guess. Capacity, Layout &amp; Flow Validation is the one Facility Readiness Score category that must independently reach Confirmed &amp; Documented before this gate can pass — no combination of scores elsewhere overrides it.</w:t>
      </w:r>
    </w:p>
    <w:p>
      <w:pPr>
        <w:spacing w:after="120" w:line="276"/>
      </w:pPr>
      <w:r>
        <w:rPr>
          <w:rFonts w:ascii="Calibri" w:cs="Calibri" w:eastAsia="Calibri" w:hAnsi="Calibri"/>
          <w:b/>
          <w:bCs/>
          <w:color w:val="1F3864"/>
          <w:sz w:val="21"/>
          <w:szCs w:val="21"/>
        </w:rPr>
        <w:t>Facilitator Guide &amp; Worked Example:  See the standalone FRF Phase 2 Facilitator Guide — banner-split into Concept Layout (Steps 1-4) and Detailed Layout (Step 5), then Package and Handoff, 18 forms — and a Worked Example covering all seven steps (14 of the 18 forms walked through with sample data; Headcount Planning, the Operating Sequence and Routing Worksheet, Operating-Cost Impact, and the Gate 2 Evidence Register are not).</w:t>
      </w:r>
      <w:r>
        <w:rPr>
          <w:rFonts w:ascii="Calibri" w:cs="Calibri" w:eastAsia="Calibri" w:hAnsi="Calibri"/>
          <w:color w:val="222222"/>
          <w:sz w:val="21"/>
          <w:szCs w:val="21"/>
        </w:rPr>
      </w:r>
    </w:p>
    <w:p>
      <w:pPr>
        <w:pStyle w:val="Heading2"/>
        <w:pBdr>
          <w:bottom w:val="single" w:color="B5892B" w:sz="6" w:space="4"/>
        </w:pBdr>
        <w:spacing w:after="120" w:before="300"/>
      </w:pPr>
      <w:r>
        <w:rPr>
          <w:rFonts w:ascii="Calibri" w:cs="Calibri" w:eastAsia="Calibri" w:hAnsi="Calibri"/>
          <w:b/>
          <w:bCs/>
          <w:color w:val="1F3864"/>
          <w:sz w:val="26"/>
          <w:szCs w:val="26"/>
        </w:rPr>
        <w:t xml:space="preserve">Phase 3 — Prove the Numbers</w:t>
      </w:r>
    </w:p>
    <w:p>
      <w:pPr>
        <w:spacing w:after="120" w:line="276"/>
      </w:pPr>
      <w:r>
        <w:rPr>
          <w:rFonts w:ascii="Calibri" w:cs="Calibri" w:eastAsia="Calibri" w:hAnsi="Calibri"/>
          <w:b/>
          <w:bCs/>
          <w:color w:val="1F3864"/>
          <w:sz w:val="21"/>
          <w:szCs w:val="21"/>
        </w:rPr>
        <w:t xml:space="preserve">Gate 3:  </w:t>
      </w:r>
      <w:r>
        <w:rPr>
          <w:rFonts w:ascii="Calibri" w:cs="Calibri" w:eastAsia="Calibri" w:hAnsi="Calibri"/>
          <w:color w:val="222222"/>
          <w:sz w:val="21"/>
          <w:szCs w:val="21"/>
        </w:rPr>
        <w:t xml:space="preserve">Numbers Proven</w:t>
      </w:r>
    </w:p>
    <w:p>
      <w:pPr>
        <w:spacing w:after="120" w:line="276"/>
      </w:pPr>
      <w:r>
        <w:rPr>
          <w:rFonts w:ascii="Calibri" w:cs="Calibri" w:eastAsia="Calibri" w:hAnsi="Calibri"/>
          <w:b/>
          <w:bCs/>
          <w:color w:val="1F3864"/>
          <w:sz w:val="21"/>
          <w:szCs w:val="21"/>
        </w:rPr>
        <w:t>What happens:  A cost estimate gets built from the locked scope — not a round number pulled from a prior project. A schedule gets built from real durations, including permitting and long-lead equipment. A delivery method gets chosen deliberately. A risk list gets built with names attached to it. FRS gets scored here, at the end of this phase, immediately before the Gate 3 review.</w:t>
      </w:r>
      <w:r>
        <w:rPr>
          <w:rFonts w:ascii="Calibri" w:cs="Calibri" w:eastAsia="Calibri" w:hAnsi="Calibri"/>
          <w:color w:val="222222"/>
          <w:sz w:val="21"/>
          <w:szCs w:val="21"/>
        </w:rPr>
      </w:r>
    </w:p>
    <w:p>
      <w:pPr>
        <w:spacing w:after="120" w:line="276"/>
      </w:pPr>
      <w:r>
        <w:rPr>
          <w:rFonts w:ascii="Calibri" w:cs="Calibri" w:eastAsia="Calibri" w:hAnsi="Calibri"/>
          <w:b/>
          <w:bCs/>
          <w:color w:val="1F3864"/>
          <w:sz w:val="21"/>
          <w:szCs w:val="21"/>
        </w:rPr>
        <w:t xml:space="preserve">Gate question:  </w:t>
      </w:r>
      <w:r>
        <w:rPr>
          <w:rFonts w:ascii="Calibri" w:cs="Calibri" w:eastAsia="Calibri" w:hAnsi="Calibri"/>
          <w:color w:val="222222"/>
          <w:sz w:val="21"/>
          <w:szCs w:val="21"/>
        </w:rPr>
        <w:t xml:space="preserve">Do budget, schedule, and delivery approach all trace back to the actual defined scope — not to a wish or an imposed deadline?</w:t>
      </w:r>
    </w:p>
    <w:p>
      <w:pPr>
        <w:spacing w:after="120" w:line="276"/>
      </w:pPr>
      <w:r>
        <w:rPr>
          <w:rFonts w:ascii="Calibri" w:cs="Calibri" w:eastAsia="Calibri" w:hAnsi="Calibri"/>
          <w:b/>
          <w:bCs/>
          <w:color w:val="1F3864"/>
          <w:sz w:val="21"/>
          <w:szCs w:val="21"/>
        </w:rPr>
        <w:t xml:space="preserve">Accountable:  </w:t>
      </w:r>
      <w:r>
        <w:rPr>
          <w:rFonts w:ascii="Calibri" w:cs="Calibri" w:eastAsia="Calibri" w:hAnsi="Calibri"/>
          <w:color w:val="222222"/>
          <w:sz w:val="21"/>
          <w:szCs w:val="21"/>
        </w:rPr>
        <w:t xml:space="preserve">CFO or finance lead and facilities director, jointly. Neither signs off alone — finance without facilities input approves numbers nobody validated against the real scope, and facilities without finance input approves a plan nobody stress-tested financially.</w:t>
      </w:r>
    </w:p>
    <w:p>
      <w:pPr>
        <w:spacing w:after="120" w:line="276"/>
      </w:pPr>
      <w:r>
        <w:rPr>
          <w:rFonts w:ascii="Calibri" w:cs="Calibri" w:eastAsia="Calibri" w:hAnsi="Calibri"/>
          <w:b/>
          <w:bCs/>
          <w:color w:val="1F3864"/>
          <w:sz w:val="21"/>
          <w:szCs w:val="21"/>
        </w:rPr>
        <w:t xml:space="preserve">If this gate gets skipped:  </w:t>
      </w:r>
      <w:r>
        <w:rPr>
          <w:rFonts w:ascii="Calibri" w:cs="Calibri" w:eastAsia="Calibri" w:hAnsi="Calibri"/>
          <w:color w:val="222222"/>
          <w:sz w:val="21"/>
          <w:szCs w:val="21"/>
        </w:rPr>
        <w:t xml:space="preserve">The funding request that goes to the board is a number someone made up early in the process and never revisited. This is where the CII research is most direct: an unproven budget and schedule is exactly the condition that predicts cost and schedule overruns.</w:t>
      </w:r>
    </w:p>
    <w:p>
      <w:pPr>
        <w:spacing w:after="120" w:line="276"/>
      </w:pPr>
      <w:r>
        <w:rPr>
          <w:rFonts w:ascii="Calibri" w:cs="Calibri" w:eastAsia="Calibri" w:hAnsi="Calibri"/>
          <w:b/>
          <w:bCs/>
          <w:color w:val="1F3864"/>
          <w:sz w:val="21"/>
          <w:szCs w:val="21"/>
        </w:rPr>
        <w:t>Facilitator Guide &amp; Worked Example:  See the standalone FRF Phase 3 Facilitator Guide (7-step walkthrough, banner-split into Build the Basis and Score &amp; Decide, 8 forms) and the FRF Phase 3 Worked Example (all 8 forms filled in).</w:t>
      </w:r>
      <w:r>
        <w:rPr>
          <w:rFonts w:ascii="Calibri" w:cs="Calibri" w:eastAsia="Calibri" w:hAnsi="Calibri"/>
          <w:color w:val="222222"/>
          <w:sz w:val="21"/>
          <w:szCs w:val="21"/>
        </w:rPr>
      </w:r>
    </w:p>
    <w:p>
      <w:pPr>
        <w:pStyle w:val="Heading2"/>
        <w:pBdr>
          <w:bottom w:val="single" w:color="B5892B" w:sz="6" w:space="4"/>
        </w:pBdr>
        <w:spacing w:after="120" w:before="300"/>
      </w:pPr>
      <w:r>
        <w:rPr>
          <w:rFonts w:ascii="Calibri" w:cs="Calibri" w:eastAsia="Calibri" w:hAnsi="Calibri"/>
          <w:b/>
          <w:bCs/>
          <w:color w:val="1F3864"/>
          <w:sz w:val="26"/>
          <w:szCs w:val="26"/>
        </w:rPr>
        <w:t xml:space="preserve">Phase 4 — Commit the Money</w:t>
      </w:r>
    </w:p>
    <w:p>
      <w:pPr>
        <w:spacing w:after="120" w:line="276"/>
      </w:pPr>
      <w:r>
        <w:rPr>
          <w:rFonts w:ascii="Calibri" w:cs="Calibri" w:eastAsia="Calibri" w:hAnsi="Calibri"/>
          <w:b/>
          <w:bCs/>
          <w:color w:val="1F3864"/>
          <w:sz w:val="21"/>
          <w:szCs w:val="21"/>
        </w:rPr>
        <w:t xml:space="preserve">Gate 4:  </w:t>
      </w:r>
      <w:r>
        <w:rPr>
          <w:rFonts w:ascii="Calibri" w:cs="Calibri" w:eastAsia="Calibri" w:hAnsi="Calibri"/>
          <w:color w:val="222222"/>
          <w:sz w:val="21"/>
          <w:szCs w:val="21"/>
        </w:rPr>
        <w:t xml:space="preserve">Funding Committed</w:t>
      </w:r>
    </w:p>
    <w:p>
      <w:pPr>
        <w:spacing w:after="120" w:line="276"/>
      </w:pPr>
      <w:r>
        <w:rPr>
          <w:rFonts w:ascii="Calibri" w:cs="Calibri" w:eastAsia="Calibri" w:hAnsi="Calibri"/>
          <w:b/>
          <w:bCs/>
          <w:color w:val="1F3864"/>
          <w:sz w:val="21"/>
          <w:szCs w:val="21"/>
        </w:rPr>
        <w:t xml:space="preserve">What happens:  </w:t>
      </w:r>
      <w:r>
        <w:rPr>
          <w:rFonts w:ascii="Calibri" w:cs="Calibri" w:eastAsia="Calibri" w:hAnsi="Calibri"/>
          <w:color w:val="222222"/>
          <w:sz w:val="21"/>
          <w:szCs w:val="21"/>
        </w:rPr>
        <w:t xml:space="preserve">The full funding request goes to the governing body — board, council, executive leadership, whoever holds capital authority — with a defined, priced, scheduled project attached to it.</w:t>
      </w:r>
    </w:p>
    <w:p>
      <w:pPr>
        <w:spacing w:after="120" w:line="276"/>
      </w:pPr>
      <w:r>
        <w:rPr>
          <w:rFonts w:ascii="Calibri" w:cs="Calibri" w:eastAsia="Calibri" w:hAnsi="Calibri"/>
          <w:b/>
          <w:bCs/>
          <w:color w:val="1F3864"/>
          <w:sz w:val="21"/>
          <w:szCs w:val="21"/>
        </w:rPr>
        <w:t xml:space="preserve">Gate question:  </w:t>
      </w:r>
      <w:r>
        <w:rPr>
          <w:rFonts w:ascii="Calibri" w:cs="Calibri" w:eastAsia="Calibri" w:hAnsi="Calibri"/>
          <w:color w:val="222222"/>
          <w:sz w:val="21"/>
          <w:szCs w:val="21"/>
        </w:rPr>
        <w:t xml:space="preserve">Is the governing body authorizing capital against a real plan, or against a guess?</w:t>
      </w:r>
    </w:p>
    <w:p>
      <w:pPr>
        <w:spacing w:after="120" w:line="276"/>
      </w:pPr>
      <w:r>
        <w:rPr>
          <w:rFonts w:ascii="Calibri" w:cs="Calibri" w:eastAsia="Calibri" w:hAnsi="Calibri"/>
          <w:b/>
          <w:bCs/>
          <w:color w:val="1F3864"/>
          <w:sz w:val="21"/>
          <w:szCs w:val="21"/>
        </w:rPr>
        <w:t xml:space="preserve">Accountable:  </w:t>
      </w:r>
      <w:r>
        <w:rPr>
          <w:rFonts w:ascii="Calibri" w:cs="Calibri" w:eastAsia="Calibri" w:hAnsi="Calibri"/>
          <w:color w:val="222222"/>
          <w:sz w:val="21"/>
          <w:szCs w:val="21"/>
        </w:rPr>
        <w:t xml:space="preserve">The board, city council, or executive leadership — whoever formally controls capital in your organization.</w:t>
      </w:r>
    </w:p>
    <w:p>
      <w:pPr>
        <w:spacing w:after="120" w:line="276"/>
      </w:pPr>
      <w:r>
        <w:rPr>
          <w:rFonts w:ascii="Calibri" w:cs="Calibri" w:eastAsia="Calibri" w:hAnsi="Calibri"/>
          <w:b/>
          <w:bCs/>
          <w:color w:val="1F3864"/>
          <w:sz w:val="21"/>
          <w:szCs w:val="21"/>
        </w:rPr>
        <w:t xml:space="preserve">If this gate gets skipped:  </w:t>
      </w:r>
      <w:r>
        <w:rPr>
          <w:rFonts w:ascii="Calibri" w:cs="Calibri" w:eastAsia="Calibri" w:hAnsi="Calibri"/>
          <w:color w:val="222222"/>
          <w:sz w:val="21"/>
          <w:szCs w:val="21"/>
        </w:rPr>
        <w:t xml:space="preserve">There is no “skipping” this gate — money always gets committed eventually. The question is whether it gets committed against a scope that went through Phases 1–3, or against a guess with a number attached. That's the difference this whole process is built to catch.</w:t>
      </w:r>
    </w:p>
    <w:p>
      <w:pPr>
        <w:spacing w:after="120" w:line="276"/>
      </w:pPr>
      <w:r>
        <w:rPr>
          <w:rFonts w:ascii="Calibri" w:cs="Calibri" w:eastAsia="Calibri" w:hAnsi="Calibri"/>
          <w:b/>
          <w:bCs/>
          <w:color w:val="1F3864"/>
          <w:sz w:val="21"/>
          <w:szCs w:val="21"/>
        </w:rPr>
        <w:t>Facilitator Guide &amp; Worked Example:  See the standalone FRF Phase 4 Facilitator Guide (7-step walkthrough, 7 forms, closing on a three-way Gate 4 Decision Record) and the FRF Phase 4 Worked Example (all 7 forms filled in). This is the last gate in FRF. Full detailed design and construction documentation are authorized to proceed — execution (construction/installation) itself is out of FRF's scope.</w:t>
      </w:r>
      <w:r>
        <w:rPr>
          <w:rFonts w:ascii="Calibri" w:cs="Calibri" w:eastAsia="Calibri" w:hAnsi="Calibri"/>
          <w:color w:val="222222"/>
          <w:sz w:val="21"/>
          <w:szCs w:val="21"/>
        </w:rPr>
      </w:r>
    </w:p>
    <w:p>
      <w:pPr>
        <w:pStyle w:val="Heading2"/>
        <w:pBdr>
          <w:bottom w:val="single" w:color="B5892B" w:sz="6" w:space="4"/>
        </w:pBdr>
        <w:spacing w:after="120" w:before="300"/>
      </w:pPr>
      <w:r>
        <w:rPr>
          <w:rFonts w:ascii="Calibri" w:cs="Calibri" w:eastAsia="Calibri" w:hAnsi="Calibri"/>
          <w:b/>
          <w:bCs/>
          <w:color w:val="1F3864"/>
          <w:sz w:val="26"/>
          <w:szCs w:val="26"/>
        </w:rPr>
        <w:t xml:space="preserve">Where This Comes From — and What's Proven vs. New</w:t>
      </w:r>
    </w:p>
    <w:p>
      <w:pPr>
        <w:spacing w:after="160" w:line="276"/>
      </w:pPr>
      <w:r>
        <w:rPr>
          <w:rFonts w:ascii="Calibri" w:cs="Calibri" w:eastAsia="Calibri" w:hAnsi="Calibri"/>
          <w:color w:val="222222"/>
          <w:sz w:val="21"/>
          <w:szCs w:val="21"/>
        </w:rPr>
        <w:t xml:space="preserve">Three established bodies of practice inform FRF and FRS — deliberately combined, not picked from one source. The overall four-gate discipline — define scope, prove the numbers, then commit money — is drawn from decades of CII front-end planning research across more than 1,000 projects and $96 billion in project value, spanning CII's Building, Industrial, and Manufacturing &amp; Life Sciences (PDRIx) tracks. The engineering sequence inside Phase 2 — capacity and headcount planning first, then block-layout alternatives compared and one selected, then detailed space and flow on the winner — comes from Systematic Layout Planning (SLP) and its companion method for material movement, Systematic Handling Analysis (SHA), developed by Richard Muther starting in the 1950s and still the standard methods taught for facility layout of any kind. Robin Owens's own 30+ years of applied practice supplies the third leg: the specific quantified techniques (Equipment Packing Density, GSF/NSF/OSF/NOSF space classification, quantified flow travel-distance) and the real-project judgment for how to actually run the first two. All three are proven, at scale, independently — FRF and FRS are what they look like combined into one usable process.</w:t>
      </w:r>
    </w:p>
    <w:p>
      <w:pPr>
        <w:spacing w:after="160" w:line="276"/>
      </w:pPr>
      <w:r>
        <w:rPr>
          <w:rFonts w:ascii="Calibri" w:cs="Calibri" w:eastAsia="Calibri" w:hAnsi="Calibri"/>
          <w:color w:val="222222"/>
          <w:sz w:val="21"/>
          <w:szCs w:val="21"/>
        </w:rPr>
        <w:t xml:space="preserve">The weighted-factor scorecard used in the Review and Select steps, and the Total FRS Score itself, both draw on the same established evaluation logic Muther's own materials teach for comparing facility alternatives on more than cost alone: a defined set of criteria, applied consistently, with the winning option expected to clearly outscore the alternatives — not decided on gut feel.</w:t>
      </w:r>
    </w:p>
    <w:p>
      <w:pPr>
        <w:spacing w:after="160" w:line="276"/>
      </w:pPr>
      <w:r>
        <w:rPr>
          <w:rFonts w:ascii="Calibri" w:cs="Calibri" w:eastAsia="Calibri" w:hAnsi="Calibri"/>
          <w:color w:val="222222"/>
          <w:sz w:val="21"/>
          <w:szCs w:val="21"/>
        </w:rPr>
        <w:t xml:space="preserve">Muther's own flagship industrial facilities checklist is itself organized around manufacturing-plant sections — machining, fabrication, paint, and assembly layout among them — genuine evidence that this methodology is built from real manufacturing practice, not adapted from something else. At the same time, Muther's core SLP procedure — the same three fundamentals of analyzing activity relationships, sizing space, and reconciling the two into a layout — has been published and taught identically for office layouts since the 1960s. The method doesn't change with the facility type; only the content does. That's the basis for building FRF and FRS around manufacturing and industrial facilities specifically, while keeping them usable for any facility or building project.</w:t>
      </w:r>
    </w:p>
    <w:p>
      <w:pPr>
        <w:spacing w:after="160" w:line="276"/>
      </w:pPr>
      <w:r>
        <w:rPr>
          <w:rFonts w:ascii="Calibri" w:cs="Calibri" w:eastAsia="Calibri" w:hAnsi="Calibri"/>
          <w:color w:val="222222"/>
          <w:sz w:val="21"/>
          <w:szCs w:val="21"/>
        </w:rPr>
        <w:t xml:space="preserve">Muther's own execution-planning framework (Systematic Planning of Industrial Facilities, or SPIF) is far broader than FRF — it covers the full plant project life cycle, including construction, IT systems, utilities, and organizational planning, explicitly usable for distribution centers and other facility types as well as plants, and it explicitly treats construction itself as “out of scope, managed by the construction contractor.” FRF doesn't try to replace that comprehensive planning work; it's the missing pre-funding decision layer that determines whether a project is ready to move into that kind of detailed execution planning in the first place.</w:t>
      </w:r>
    </w:p>
    <w:p>
      <w:pPr>
        <w:spacing w:after="160" w:line="276"/>
      </w:pPr>
      <w:r>
        <w:rPr>
          <w:rFonts w:ascii="Calibri" w:cs="Calibri" w:eastAsia="Calibri" w:hAnsi="Calibri"/>
          <w:color w:val="222222"/>
          <w:sz w:val="21"/>
          <w:szCs w:val="21"/>
        </w:rPr>
        <w:t xml:space="preserve">FRF itself — the specific phase names, gate structure, and accountable roles as written here — is an original framework, not a copy of any CII, PDRI, SLP, SHA, or SPIF document. Its companion tool, the Facility Readiness Score (FRS), is also original: its own categories, its own scoring scale, built specifically around what an owner needs to check before funding any facility or building project — and, in the Capacity, Layout &amp; Flow Validation category, around the specific engineering discipline that most owners skip entirely.</w:t>
      </w:r>
    </w:p>
    <w:p>
      <w:pPr>
        <w:spacing w:after="160" w:line="276"/>
      </w:pPr>
      <w:r>
        <w:rPr>
          <w:rFonts w:ascii="Calibri" w:cs="Calibri" w:eastAsia="Calibri" w:hAnsi="Calibri"/>
          <w:color w:val="222222"/>
          <w:sz w:val="21"/>
          <w:szCs w:val="21"/>
        </w:rPr>
        <w:t xml:space="preserve">One honest caveat: FRS has not yet been independently validated against a body of real project outcomes the way PDRI has been. The logic it's built on — that scope definition predicts cost and schedule outcomes — is proven. The specific weights and thresholds in FRS are a first version, grounded in that proven logic and in direct field experience, and will get sharper as it's used on real projects and the outcomes get tracked. That's stated plainly here because overclaiming a new tool's track record helps no one — least of all the owner using it to make a funding decision.</w:t>
      </w:r>
    </w:p>
    <w:p>
      <w:pPr>
        <w:pStyle w:val="Heading1"/>
        <w:pageBreakBefore/>
        <w:pBdr>
          <w:bottom w:val="single" w:color="B5892B" w:sz="8" w:space="4"/>
        </w:pBdr>
        <w:spacing w:after="120" w:before="0"/>
      </w:pPr>
      <w:r>
        <w:rPr>
          <w:rFonts w:ascii="Calibri" w:cs="Calibri" w:eastAsia="Calibri" w:hAnsi="Calibri"/>
          <w:b/>
          <w:bCs/>
          <w:color w:val="1F3864"/>
          <w:sz w:val="32"/>
          <w:szCs w:val="32"/>
        </w:rPr>
        <w:t xml:space="preserve">Appendix — Phase 1 Facilitator Guide</w:t>
      </w:r>
    </w:p>
    <w:p>
      <w:pPr>
        <w:spacing w:after="160" w:line="276"/>
      </w:pPr>
      <w:r>
        <w:rPr>
          <w:rFonts w:ascii="Calibri" w:cs="Calibri" w:eastAsia="Calibri" w:hAnsi="Calibri"/>
          <w:color w:val="222222"/>
          <w:sz w:val="21"/>
          <w:szCs w:val="21"/>
        </w:rPr>
        <w:t xml:space="preserve">This isn't just a set of blank forms — it's a guide for actually running Phase 1, step by step, written for whoever is facilitating it (that might be you, or the owner's own project lead). Follow the seven steps below in order, using the five forms as the record of what you found at each step. Done properly, Phase 1 takes days, not weeks — it's meant to be fast. If any step below turns out to be genuinely hard to complete, that's not a paperwork problem; it's telling you the project isn't actually ready to leave Phase 1 yet.</w:t>
      </w:r>
    </w:p>
    <w:p>
      <w:pPr>
        <w:spacing w:after="80" w:before="260"/>
      </w:pPr>
      <w:r>
        <w:rPr>
          <w:rFonts w:ascii="Calibri" w:cs="Calibri" w:eastAsia="Calibri" w:hAnsi="Calibri"/>
          <w:b/>
          <w:bCs/>
          <w:color w:val="1F3864"/>
          <w:sz w:val="23"/>
          <w:szCs w:val="23"/>
        </w:rPr>
        <w:t xml:space="preserve">How to Run Phase 1, Step by Step</w:t>
      </w:r>
    </w:p>
    <w:p>
      <w:pPr>
        <w:spacing w:after="120" w:line="276"/>
      </w:pPr>
      <w:r>
        <w:rPr>
          <w:rFonts w:ascii="Calibri" w:cs="Calibri" w:eastAsia="Calibri" w:hAnsi="Calibri"/>
          <w:b/>
          <w:bCs/>
          <w:color w:val="1F3864"/>
          <w:sz w:val="21"/>
          <w:szCs w:val="21"/>
        </w:rPr>
        <w:t xml:space="preserve">Step 1 — Find out who's raising the problem, and talk to them directly.  </w:t>
      </w:r>
      <w:r>
        <w:rPr>
          <w:rFonts w:ascii="Calibri" w:cs="Calibri" w:eastAsia="Calibri" w:hAnsi="Calibri"/>
          <w:color w:val="222222"/>
          <w:sz w:val="21"/>
          <w:szCs w:val="21"/>
        </w:rPr>
        <w:t xml:space="preserve">Schedule 30-45 minutes with the person or department raising the issue, plus their direct manager. Don't rely on a written request or a hallway summary — sit down and ask.</w:t>
      </w:r>
    </w:p>
    <w:p>
      <w:pPr>
        <w:spacing w:after="120" w:line="276"/>
      </w:pPr>
      <w:r>
        <w:rPr>
          <w:rFonts w:ascii="Calibri" w:cs="Calibri" w:eastAsia="Calibri" w:hAnsi="Calibri"/>
          <w:b/>
          <w:bCs/>
          <w:color w:val="1F3864"/>
          <w:sz w:val="21"/>
          <w:szCs w:val="21"/>
        </w:rPr>
        <w:t xml:space="preserve">Step 2 — Get the problem in writing, in measurable terms.  </w:t>
      </w:r>
      <w:r>
        <w:rPr>
          <w:rFonts w:ascii="Calibri" w:cs="Calibri" w:eastAsia="Calibri" w:hAnsi="Calibri"/>
          <w:color w:val="222222"/>
          <w:sz w:val="21"/>
          <w:szCs w:val="21"/>
        </w:rPr>
        <w:t xml:space="preserve">Ask: “Walk me through what's happening today. What is this costing you — in downtime, missed orders, safety incidents, capacity you can't use? How long has this been going on, and what made you raise it now?” Push past adjectives (“it's really bad”) to numbers. Fill out the Problem Statement form as you go, not from memory afterward.</w:t>
      </w:r>
    </w:p>
    <w:p>
      <w:pPr>
        <w:spacing w:after="120" w:line="276"/>
      </w:pPr>
      <w:r>
        <w:rPr>
          <w:rFonts w:ascii="Calibri" w:cs="Calibri" w:eastAsia="Calibri" w:hAnsi="Calibri"/>
          <w:b/>
          <w:bCs/>
          <w:color w:val="1F3864"/>
          <w:sz w:val="21"/>
          <w:szCs w:val="21"/>
        </w:rPr>
        <w:t xml:space="preserve">Step 3 — Get independent confirmation the problem is real.  </w:t>
      </w:r>
      <w:r>
        <w:rPr>
          <w:rFonts w:ascii="Calibri" w:cs="Calibri" w:eastAsia="Calibri" w:hAnsi="Calibri"/>
          <w:color w:val="222222"/>
          <w:sz w:val="21"/>
          <w:szCs w:val="21"/>
        </w:rPr>
        <w:t xml:space="preserve">Find at least one person outside the requesting department — their boss, a peer director, a plant manager — who can independently say this is real. This is the single best protection against spending Phase 2 effort on one department's pet project. Record who confirmed it on the Problem Statement form.</w:t>
      </w:r>
    </w:p>
    <w:p>
      <w:pPr>
        <w:spacing w:after="120" w:line="276"/>
      </w:pPr>
      <w:r>
        <w:rPr>
          <w:rFonts w:ascii="Calibri" w:cs="Calibri" w:eastAsia="Calibri" w:hAnsi="Calibri"/>
          <w:b/>
          <w:bCs/>
          <w:color w:val="1F3864"/>
          <w:sz w:val="21"/>
          <w:szCs w:val="21"/>
        </w:rPr>
        <w:t xml:space="preserve">Step 4 — Bracket a rough-order budget range.  </w:t>
      </w:r>
      <w:r>
        <w:rPr>
          <w:rFonts w:ascii="Calibri" w:cs="Calibri" w:eastAsia="Calibri" w:hAnsi="Calibri"/>
          <w:color w:val="222222"/>
          <w:sz w:val="21"/>
          <w:szCs w:val="21"/>
        </w:rPr>
        <w:t xml:space="preserve">You are not pricing the project — you're bracketing it. Use a comparable past project, a quick call to a contractor or vendor for a budgetary number, or a $/sq ft rule of thumb for this facility type. Keep the range wide on purpose; a narrow range this early just means someone is guessing with false confidence. Record it on the Budget Range Worksheet.</w:t>
      </w:r>
    </w:p>
    <w:p>
      <w:pPr>
        <w:spacing w:after="120" w:line="276"/>
      </w:pPr>
      <w:r>
        <w:rPr>
          <w:rFonts w:ascii="Calibri" w:cs="Calibri" w:eastAsia="Calibri" w:hAnsi="Calibri"/>
          <w:b/>
          <w:bCs/>
          <w:color w:val="1F3864"/>
          <w:sz w:val="21"/>
          <w:szCs w:val="21"/>
        </w:rPr>
        <w:t xml:space="preserve">Step 5 — Check strategic fit.  </w:t>
      </w:r>
      <w:r>
        <w:rPr>
          <w:rFonts w:ascii="Calibri" w:cs="Calibri" w:eastAsia="Calibri" w:hAnsi="Calibri"/>
          <w:color w:val="222222"/>
          <w:sz w:val="21"/>
          <w:szCs w:val="21"/>
        </w:rPr>
        <w:t xml:space="preserve">Take the problem statement and budget range to whoever owns strategy — sometimes the same person as the eventual sponsor, sometimes not — and ask directly: “Does solving this support something we're already trying to do? What happens if we don't fix it?” If nobody can answer clearly, that's useful information too — it may mean the project needs to wait, or needs a stronger case built first. Record it on the Strategic Fit Check.</w:t>
      </w:r>
    </w:p>
    <w:p>
      <w:pPr>
        <w:spacing w:after="120" w:line="276"/>
      </w:pPr>
      <w:r>
        <w:rPr>
          <w:rFonts w:ascii="Calibri" w:cs="Calibri" w:eastAsia="Calibri" w:hAnsi="Calibri"/>
          <w:b/>
          <w:bCs/>
          <w:color w:val="1F3864"/>
          <w:sz w:val="21"/>
          <w:szCs w:val="21"/>
        </w:rPr>
        <w:t xml:space="preserve">Step 6 — Identify and formally name the executive sponsor and the FRF process leader.  </w:t>
      </w:r>
      <w:r>
        <w:rPr>
          <w:rFonts w:ascii="Calibri" w:cs="Calibri" w:eastAsia="Calibri" w:hAnsi="Calibri"/>
          <w:color w:val="222222"/>
          <w:sz w:val="21"/>
          <w:szCs w:val="21"/>
        </w:rPr>
        <w:t>By this point the right people are usually obvious: the sponsor is whoever can authorize the Phase 2 budget without further approval, or has direct authority to escalate to whoever can; the process leader is whoever will carry continuity and the evidence package from here through Gate 4 — not necessarily the same person. Have them formally accept these roles using the Executive Sponsor &amp; FRF Process Leader Designation form. If nobody can be named to either role, stop here — this is the clearest signal a project isn't ready to fund.</w:t>
      </w:r>
    </w:p>
    <w:p>
      <w:pPr>
        <w:spacing w:after="120" w:line="276"/>
      </w:pPr>
      <w:r>
        <w:rPr>
          <w:rFonts w:ascii="Calibri" w:cs="Calibri" w:eastAsia="Calibri" w:hAnsi="Calibri"/>
          <w:b/>
          <w:bCs/>
          <w:color w:val="1F3864"/>
          <w:sz w:val="21"/>
          <w:szCs w:val="21"/>
        </w:rPr>
        <w:t xml:space="preserve">Step 7 — Run the actual Gate 1 decision, in person.  </w:t>
      </w:r>
      <w:r>
        <w:rPr>
          <w:rFonts w:ascii="Calibri" w:cs="Calibri" w:eastAsia="Calibri" w:hAnsi="Calibri"/>
          <w:color w:val="222222"/>
          <w:sz w:val="21"/>
          <w:szCs w:val="21"/>
        </w:rPr>
        <w:t xml:space="preserve">Bring the sponsor the completed Problem Statement, Strategic Fit Check, and Budget Range Worksheet in one sitting — a real meeting, not an email chain. Ask the gate question directly and record whatever they actually decide on the Gate 1 Decision Record, even if the answer is “not yet.” That record is what closes the phase.</w:t>
      </w:r>
    </w:p>
    <w:p>
      <w:pPr>
        <w:spacing w:after="80" w:before="260"/>
      </w:pPr>
      <w:r>
        <w:rPr>
          <w:rFonts w:ascii="Calibri" w:cs="Calibri" w:eastAsia="Calibri" w:hAnsi="Calibri"/>
          <w:b/>
          <w:bCs/>
          <w:color w:val="1F3864"/>
          <w:sz w:val="23"/>
          <w:szCs w:val="23"/>
        </w:rPr>
        <w:t xml:space="preserve">1. Problem Statement</w:t>
      </w:r>
    </w:p>
    <w:p>
      <w:pPr>
        <w:spacing w:after="140" w:line="264"/>
      </w:pPr>
      <w:r>
        <w:rPr>
          <w:rFonts w:ascii="Calibri" w:cs="Calibri" w:eastAsia="Calibri" w:hAnsi="Calibri"/>
          <w:i/>
          <w:iCs/>
          <w:color w:val="666666"/>
          <w:sz w:val="18"/>
          <w:szCs w:val="18"/>
        </w:rPr>
        <w:t xml:space="preserve">Confirms the problem is real and written down — not a wish list from one department. See Steps 1-3 above for how to gather this.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Project / Initiative Name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Prepared By / Date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82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Problem Description — what's broken, and what it's costing (downtime, lost capacity, safety, cost, or other measurable terms)</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Evidence Behind It — what supports this being real (production data, incident reports, customer complaints, a capacity study, etc.)</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Departments / Stakeholders Affected</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Why Now — the trigger or urgency</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Confirmed As Real By — name &amp; position of at least one person outside the requesting department who reviewed this and agrees it's real</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bl>
    <w:p>
      <w:pPr>
        <w:spacing w:after="80" w:before="260"/>
      </w:pPr>
      <w:r>
        <w:rPr>
          <w:rFonts w:ascii="Calibri" w:cs="Calibri" w:eastAsia="Calibri" w:hAnsi="Calibri"/>
          <w:b/>
          <w:bCs/>
          <w:color w:val="1F3864"/>
          <w:sz w:val="23"/>
          <w:szCs w:val="23"/>
        </w:rPr>
        <w:t xml:space="preserve">2. Strategic Fit Check</w:t>
      </w:r>
    </w:p>
    <w:p>
      <w:pPr>
        <w:spacing w:after="140" w:line="264"/>
      </w:pPr>
      <w:r>
        <w:rPr>
          <w:rFonts w:ascii="Calibri" w:cs="Calibri" w:eastAsia="Calibri" w:hAnsi="Calibri"/>
          <w:i/>
          <w:iCs/>
          <w:color w:val="666666"/>
          <w:sz w:val="18"/>
          <w:szCs w:val="18"/>
        </w:rPr>
        <w:t xml:space="preserve">Confirms the project is worth pursuing on business grounds before any planning money is spent. See Step 5 above for how to gather this.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Named Company Strategy / Initiative This Supports</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What Happens If This Is NOT Done — the cost of inaction</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Reviewed By (Name &amp; Position)</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Date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bl>
    <w:p>
      <w:pPr>
        <w:spacing w:after="80" w:before="260"/>
      </w:pPr>
      <w:r>
        <w:rPr>
          <w:rFonts w:ascii="Calibri" w:cs="Calibri" w:eastAsia="Calibri" w:hAnsi="Calibri"/>
          <w:b/>
          <w:bCs/>
          <w:color w:val="1F3864"/>
          <w:sz w:val="23"/>
          <w:szCs w:val="23"/>
        </w:rPr>
        <w:t xml:space="preserve">3. Rough-Order Budget Range Worksheet</w:t>
      </w:r>
    </w:p>
    <w:p>
      <w:pPr>
        <w:spacing w:after="140" w:line="264"/>
      </w:pPr>
      <w:r>
        <w:rPr>
          <w:rFonts w:ascii="Calibri" w:cs="Calibri" w:eastAsia="Calibri" w:hAnsi="Calibri"/>
          <w:i/>
          <w:iCs/>
          <w:color w:val="666666"/>
          <w:sz w:val="18"/>
          <w:szCs w:val="18"/>
        </w:rPr>
        <w:t xml:space="preserve">A wide, honest range — not a firm number. This range is what tells you how much planning rigor Phase 2 deserves. See Step 4 above for how to gather this.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Low-End Estimate ($)</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High-End Estimate ($)</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Basis For This Range — comparable project, rule-of-thumb $/sq ft, vendor budgetary quote, etc.</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Confidence Level — Rough Guess / Order-of-Magnitude / Budgetary Quote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Prepared By / Date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bl>
    <w:p>
      <w:pPr>
        <w:spacing w:after="80" w:before="260"/>
      </w:pPr>
      <w:r>
        <w:rPr>
          <w:rFonts w:ascii="Calibri" w:cs="Calibri" w:eastAsia="Calibri" w:hAnsi="Calibri"/>
          <w:b/>
          <w:bCs/>
          <w:color w:val="1F3864"/>
          <w:sz w:val="23"/>
          <w:szCs w:val="23"/>
        </w:rPr>
        <w:t>4. Executive Sponsor &amp; FRF Process Leader Designation</w:t>
      </w:r>
    </w:p>
    <w:p>
      <w:pPr>
        <w:spacing w:after="140" w:line="264"/>
      </w:pPr>
      <w:r>
        <w:rPr>
          <w:rFonts w:ascii="Calibri" w:cs="Calibri" w:eastAsia="Calibri" w:hAnsi="Calibri"/>
          <w:i/>
          <w:iCs/>
          <w:color w:val="666666"/>
          <w:sz w:val="18"/>
          <w:szCs w:val="18"/>
        </w:rPr>
        <w:t>Names three distinct roles, not one: the executive sponsor (owns the business need and funding sponsorship), the FRF process leader (maintains continuity, evidence, packages, and follow-through across all four phases), and each gate's decision authority (who may be an individual or a formally identified governing body). If nobody can fill in the sponsor and process-leader fields, that's the clearest sign this project isn't ready to leave Phase 1. See Step 6 above.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Sponsor Name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Title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Authority Level — what can this person approve on their own?</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Contact Info</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Signature / Date — acknowledging this role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bl>
    <w:p>
      <w:pPr>
        <w:spacing w:after="80" w:before="260"/>
      </w:pPr>
      <w:r>
        <w:rPr>
          <w:rFonts w:ascii="Calibri" w:cs="Calibri" w:eastAsia="Calibri" w:hAnsi="Calibri"/>
          <w:b/>
          <w:bCs/>
          <w:color w:val="1F3864"/>
          <w:sz w:val="23"/>
          <w:szCs w:val="23"/>
        </w:rPr>
        <w:t xml:space="preserve">5. Gate 1 Decision Record</w:t>
      </w:r>
    </w:p>
    <w:p>
      <w:pPr>
        <w:spacing w:after="140" w:line="264"/>
      </w:pPr>
      <w:r>
        <w:rPr>
          <w:rFonts w:ascii="Calibri" w:cs="Calibri" w:eastAsia="Calibri" w:hAnsi="Calibri"/>
          <w:i/>
          <w:iCs/>
          <w:color w:val="666666"/>
          <w:sz w:val="18"/>
          <w:szCs w:val="18"/>
        </w:rPr>
        <w:t xml:space="preserve">This is the artifact — the written record that closes Phase 1. Keep it with the project file; Phase 2 work shouldn't start without it. See Step 7 above.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6300"/>
      </w:tblGrid>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Project / Initiative Name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Gate Question — does leadership agree this is worth spending real planning money on?</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820" w:hRule="atLeast"/>
        </w:trPr>
        <w:tc>
          <w:tcPr>
            <w:tcW w:type="dxa" w:w="2700"/>
            <w:shd w:fill="F2F2F2" w:val="clear"/>
            <w:tcMar>
              <w:top w:type="dxa" w:w="100"/>
              <w:left w:type="dxa" w:w="120"/>
              <w:bottom w:type="dxa" w:w="100"/>
              <w:right w:type="dxa" w:w="120"/>
            </w:tcMar>
            <w:vAlign w:val="center"/>
          </w:tcPr>
          <w:p>
            <w:pPr>
              <w:spacing w:after="40"/>
            </w:pPr>
            <w:r>
              <w:rPr>
                <w:rFonts w:ascii="Calibri" w:cs="Calibri" w:eastAsia="Calibri" w:hAnsi="Calibri"/>
                <w:b/>
                <w:bCs/>
                <w:color w:val="222222"/>
                <w:sz w:val="18"/>
                <w:szCs w:val="18"/>
              </w:rPr>
              <w:t xml:space="preserve">Decision — mark one:</w:t>
            </w:r>
          </w:p>
          <w:p>
            <w:pPr>
              <w:spacing w:after="40"/>
            </w:pPr>
            <w:r>
              <w:rPr>
                <w:rFonts w:ascii="Calibri" w:cs="Calibri" w:eastAsia="Calibri" w:hAnsi="Calibri"/>
                <w:b/>
                <w:bCs/>
                <w:color w:val="222222"/>
                <w:sz w:val="18"/>
                <w:szCs w:val="18"/>
              </w:rPr>
              <w:t xml:space="preserve">☐ Approved, proceed to Phase 2</w:t>
            </w:r>
          </w:p>
          <w:p>
            <w:pPr>
              <w:spacing w:after="40"/>
            </w:pPr>
            <w:r>
              <w:rPr>
                <w:rFonts w:ascii="Calibri" w:cs="Calibri" w:eastAsia="Calibri" w:hAnsi="Calibri"/>
                <w:b/>
                <w:bCs/>
                <w:color w:val="222222"/>
                <w:sz w:val="18"/>
                <w:szCs w:val="18"/>
              </w:rPr>
              <w:t xml:space="preserve">☐ More information needed</w:t>
            </w:r>
          </w:p>
          <w:p>
            <w:pPr>
              <w:spacing w:after="0"/>
            </w:pPr>
            <w:r>
              <w:rPr>
                <w:rFonts w:ascii="Calibri" w:cs="Calibri" w:eastAsia="Calibri" w:hAnsi="Calibri"/>
                <w:b/>
                <w:bCs/>
                <w:color w:val="222222"/>
                <w:sz w:val="18"/>
                <w:szCs w:val="18"/>
              </w:rPr>
              <w:t xml:space="preserve">☐ Project stopped</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Rationale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r>
        <w:trPr>
          <w:cantSplit/>
          <w:trHeight w:val="26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Phase 2 Budget Authorized (if approved)</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tc>
      </w:tr>
      <w:tr>
        <w:trPr>
          <w:cantSplit/>
          <w:trHeight w:val="540" w:hRule="atLeast"/>
        </w:trPr>
        <w:tc>
          <w:tcPr>
            <w:tcW w:type="dxa" w:w="2700"/>
            <w:shd w:fill="F2F2F2" w:val="clear"/>
            <w:tcMar>
              <w:top w:type="dxa" w:w="100"/>
              <w:left w:type="dxa" w:w="120"/>
              <w:bottom w:type="dxa" w:w="100"/>
              <w:right w:type="dxa" w:w="120"/>
            </w:tcMar>
            <w:vAlign w:val="center"/>
          </w:tcPr>
          <w:p>
            <w:pPr>
              <w:spacing w:after="0"/>
            </w:pPr>
            <w:r>
              <w:rPr>
                <w:rFonts w:ascii="Calibri" w:cs="Calibri" w:eastAsia="Calibri" w:hAnsi="Calibri"/>
                <w:b/>
                <w:bCs/>
                <w:color w:val="222222"/>
                <w:sz w:val="18"/>
                <w:szCs w:val="18"/>
              </w:rPr>
              <w:t xml:space="preserve">Approved By — Sponsor Name, Title, Signature, Date</w:t>
            </w:r>
          </w:p>
        </w:tc>
        <w:tc>
          <w:tcPr>
            <w:tcW w:type="dxa" w:w="6300"/>
            <w:tcMar>
              <w:top w:type="dxa" w:w="100"/>
              <w:left w:type="dxa" w:w="120"/>
              <w:bottom w:type="dxa" w:w="100"/>
              <w:right w:type="dxa" w:w="120"/>
            </w:tcMar>
            <w:vAlign w:val="top"/>
          </w:tcPr>
          <w:p>
            <w:pPr>
              <w:spacing w:after="0" w:line="300"/>
            </w:pPr>
            <w:r>
              <w:rPr>
                <w:rFonts w:ascii="Calibri" w:cs="Calibri" w:eastAsia="Calibri" w:hAnsi="Calibri"/>
                <w:sz w:val="21"/>
                <w:szCs w:val="21"/>
              </w:rPr>
              <w:t xml:space="preserve"/>
            </w:r>
          </w:p>
          <w:p>
            <w:pPr>
              <w:spacing w:after="0" w:line="300"/>
            </w:pPr>
            <w:r>
              <w:rPr>
                <w:rFonts w:ascii="Calibri" w:cs="Calibri" w:eastAsia="Calibri" w:hAnsi="Calibri"/>
                <w:sz w:val="21"/>
                <w:szCs w:val="21"/>
              </w:rPr>
              <w:t xml:space="preserve"/>
            </w:r>
          </w:p>
        </w:tc>
      </w:tr>
    </w:tbl>
    <w:p>
      <w:pPr>
        <w:spacing w:before="0" w:after="0"/>
        <w:rPr>
          <w:sz w:val="2"/>
        </w:rPr>
      </w:pPr>
    </w:p>
    <w:sectPr>
      <w:footerReference w:type="default" r:id="rId8"/>
      <w:pgSz w:w="12240" w:h="15840" w:orient="portrait"/>
      <w:pgMar w:top="1080" w:right="1260" w:bottom="1080" w:left="1260" w:header="708" w:footer="28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888888"/>
        <w:sz w:val="18"/>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2026-09-09T18:42:57.338Z</dcterms:created>
  <dcterms:modified xsi:type="dcterms:W3CDTF">2026-09-09T18:42:57.347Z</dcterms:modified>
</cp:coreProperties>
</file>

<file path=docProps/custom.xml><?xml version="1.0" encoding="utf-8"?>
<Properties xmlns="http://schemas.openxmlformats.org/officeDocument/2006/custom-properties" xmlns:vt="http://schemas.openxmlformats.org/officeDocument/2006/docPropsVTypes"/>
</file>